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971" w:rsidRPr="001E6AE9" w:rsidRDefault="001E6AE9" w:rsidP="001E6AE9">
      <w:pPr>
        <w:jc w:val="center"/>
        <w:rPr>
          <w:rFonts w:ascii="Times New Roman" w:hAnsi="Times New Roman" w:cs="Times New Roman"/>
          <w:sz w:val="28"/>
          <w:szCs w:val="28"/>
        </w:rPr>
      </w:pPr>
      <w:r w:rsidRPr="001E6AE9">
        <w:rPr>
          <w:rFonts w:ascii="Times New Roman" w:hAnsi="Times New Roman" w:cs="Times New Roman"/>
          <w:sz w:val="28"/>
          <w:szCs w:val="28"/>
        </w:rPr>
        <w:t>О кодах для декларации по налогу на прибыль</w:t>
      </w:r>
    </w:p>
    <w:p w:rsidR="001E6AE9" w:rsidRPr="001E6AE9" w:rsidRDefault="001E6AE9" w:rsidP="001E6AE9">
      <w:pPr>
        <w:pStyle w:val="Default"/>
        <w:jc w:val="both"/>
        <w:rPr>
          <w:sz w:val="28"/>
          <w:szCs w:val="28"/>
        </w:rPr>
      </w:pPr>
    </w:p>
    <w:p w:rsidR="001E6AE9" w:rsidRPr="001E6AE9" w:rsidRDefault="001E6AE9" w:rsidP="001E6A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6AE9">
        <w:rPr>
          <w:rFonts w:ascii="Times New Roman" w:hAnsi="Times New Roman" w:cs="Times New Roman"/>
          <w:sz w:val="28"/>
          <w:szCs w:val="28"/>
        </w:rPr>
        <w:t xml:space="preserve">ФНС России в целях реализации положений Федеральных законов от 14.07.2022 № 321-ФЗ и № 323-ФЗ «О внесении изменений в часть вторую Налогового кодекса Российской Федерации», в связи с принятием которых налогоплательщики получили право, в том числе учитывать в повышенном размере расходы на приобретение отечественных объектов основных средств и программного обеспечения, относящих к сфере искусственного интеллекта, информирует, что до внесения соответствующих изменений в приказ ФНС России от 23.09.2019 № ММВ-7-3/475@ «Об утверждении формы налоговой декларации по налогу на прибыль организаций, порядка ее заполнения, а также формата представления налоговой декларации по налогу на прибыль организаций в электронной форме» при заполнении Приложения № 1 к декларации (в части расходов, учитываемых для целей налогообложения отдельными категориями налогоплательщиков) необходимо использовать следующие коды расходов: </w:t>
      </w:r>
    </w:p>
    <w:p w:rsidR="001E6AE9" w:rsidRPr="001E6AE9" w:rsidRDefault="001E6AE9" w:rsidP="001E6AE9">
      <w:pPr>
        <w:jc w:val="both"/>
        <w:rPr>
          <w:rFonts w:ascii="Times New Roman" w:hAnsi="Times New Roman" w:cs="Times New Roman"/>
          <w:sz w:val="28"/>
          <w:szCs w:val="28"/>
        </w:rPr>
      </w:pPr>
      <w:r w:rsidRPr="001E6AE9">
        <w:rPr>
          <w:rFonts w:ascii="Times New Roman" w:hAnsi="Times New Roman" w:cs="Times New Roman"/>
          <w:sz w:val="28"/>
          <w:szCs w:val="28"/>
        </w:rPr>
        <w:t xml:space="preserve">620 – для отражения расходов, учтенных налогоплательщиком с применением коэффициента 1,5 при формировании первоначальной стоимости основного средства, включенного в единый реестр российской радиоэлектронной продукции, относящегося к сфере искусственного интеллекта (пункт 1 статьи 257 НК РФ); </w:t>
      </w:r>
    </w:p>
    <w:p w:rsidR="001E6AE9" w:rsidRPr="001E6AE9" w:rsidRDefault="001E6AE9" w:rsidP="001E6AE9">
      <w:pPr>
        <w:jc w:val="both"/>
        <w:rPr>
          <w:rFonts w:ascii="Times New Roman" w:hAnsi="Times New Roman" w:cs="Times New Roman"/>
          <w:sz w:val="28"/>
          <w:szCs w:val="28"/>
        </w:rPr>
      </w:pPr>
      <w:r w:rsidRPr="001E6AE9">
        <w:rPr>
          <w:rFonts w:ascii="Times New Roman" w:hAnsi="Times New Roman" w:cs="Times New Roman"/>
          <w:sz w:val="28"/>
          <w:szCs w:val="28"/>
        </w:rPr>
        <w:t xml:space="preserve">621 – для отражения расходов, учтенных налогоплательщиком с применением коэффициента 1,5 при формировании первоначальной стоимости нематериальных активов в виде исключительных прав на программы для ЭВМ и базы данных, включенные в единый реестр российских программ для электронных вычислительных машин и баз данных, относящиеся к сфере искусственного интеллекта (пункт 3 статьи 257 НК РФ); </w:t>
      </w:r>
    </w:p>
    <w:p w:rsidR="001E6AE9" w:rsidRPr="001E6AE9" w:rsidRDefault="001E6AE9" w:rsidP="001E6AE9">
      <w:pPr>
        <w:jc w:val="both"/>
        <w:rPr>
          <w:rFonts w:ascii="Times New Roman" w:hAnsi="Times New Roman" w:cs="Times New Roman"/>
          <w:sz w:val="28"/>
          <w:szCs w:val="28"/>
        </w:rPr>
      </w:pPr>
      <w:r w:rsidRPr="001E6AE9">
        <w:rPr>
          <w:rFonts w:ascii="Times New Roman" w:hAnsi="Times New Roman" w:cs="Times New Roman"/>
          <w:sz w:val="28"/>
          <w:szCs w:val="28"/>
        </w:rPr>
        <w:t xml:space="preserve">622 – для отражения расходов, связанных с приобретением права на использование по договорам с правообладателем (по лицензионным и </w:t>
      </w:r>
      <w:proofErr w:type="spellStart"/>
      <w:r w:rsidRPr="001E6AE9">
        <w:rPr>
          <w:rFonts w:ascii="Times New Roman" w:hAnsi="Times New Roman" w:cs="Times New Roman"/>
          <w:sz w:val="28"/>
          <w:szCs w:val="28"/>
        </w:rPr>
        <w:t>сублицензионным</w:t>
      </w:r>
      <w:proofErr w:type="spellEnd"/>
      <w:r w:rsidRPr="001E6AE9">
        <w:rPr>
          <w:rFonts w:ascii="Times New Roman" w:hAnsi="Times New Roman" w:cs="Times New Roman"/>
          <w:sz w:val="28"/>
          <w:szCs w:val="28"/>
        </w:rPr>
        <w:t xml:space="preserve"> соглашениям) программ для ЭВМ и баз данных (включая расходы на приобретение исключительных прав на программы для ЭВМ стоимостью менее суммы стоимости амортизируемого имущества), включенных в единый реестр российских программ для электронных вычислительных машин и баз данных, относящихся к сфере искусственного интеллекта, учтенных налогоплательщиком с применением коэффициента 1,5 (подпункт 26 пункта 1 статьи 264 НК РФ); </w:t>
      </w:r>
    </w:p>
    <w:p w:rsidR="001E6AE9" w:rsidRPr="001E6AE9" w:rsidRDefault="001E6AE9" w:rsidP="001E6AE9">
      <w:pPr>
        <w:jc w:val="both"/>
        <w:rPr>
          <w:rFonts w:ascii="Times New Roman" w:hAnsi="Times New Roman" w:cs="Times New Roman"/>
          <w:sz w:val="28"/>
          <w:szCs w:val="28"/>
        </w:rPr>
      </w:pPr>
      <w:r w:rsidRPr="001E6AE9">
        <w:rPr>
          <w:rFonts w:ascii="Times New Roman" w:hAnsi="Times New Roman" w:cs="Times New Roman"/>
          <w:sz w:val="28"/>
          <w:szCs w:val="28"/>
        </w:rPr>
        <w:t xml:space="preserve">681 – для отражения суммы начисленной амортизации при применении к основной норме амортизации специального коэффициента (не выше 3) в отношении амортизируемых основных средств, включенных на дату их ввода </w:t>
      </w:r>
      <w:r w:rsidRPr="001E6AE9">
        <w:rPr>
          <w:rFonts w:ascii="Times New Roman" w:hAnsi="Times New Roman" w:cs="Times New Roman"/>
          <w:sz w:val="28"/>
          <w:szCs w:val="28"/>
        </w:rPr>
        <w:lastRenderedPageBreak/>
        <w:t xml:space="preserve">в эксплуатацию в единый реестр российской радиоэлектронной продукции (подпункт 5 пункта 2 статьи 259.3 НК РФ); </w:t>
      </w:r>
    </w:p>
    <w:p w:rsidR="001E6AE9" w:rsidRPr="001E6AE9" w:rsidRDefault="001E6AE9" w:rsidP="001E6AE9">
      <w:pPr>
        <w:jc w:val="both"/>
        <w:rPr>
          <w:rFonts w:ascii="Times New Roman" w:hAnsi="Times New Roman" w:cs="Times New Roman"/>
          <w:sz w:val="28"/>
          <w:szCs w:val="28"/>
        </w:rPr>
      </w:pPr>
      <w:r w:rsidRPr="001E6AE9">
        <w:rPr>
          <w:rFonts w:ascii="Times New Roman" w:hAnsi="Times New Roman" w:cs="Times New Roman"/>
          <w:sz w:val="28"/>
          <w:szCs w:val="28"/>
        </w:rPr>
        <w:t xml:space="preserve">682 – для отражения суммы начисленной амортизации при применении к основной норме амортизации специального коэффициента (не выше 3) в отношении нематериальных активов в виде исключительных прав на программы для электронных вычислительных машин и базы данных, включенные в единый реестр российских программ для электронных вычислительных машин и баз данных (за исключением нематериальных активов, срок полезного использования которых определен в порядке, установленном абзацем вторым пункта 2 статьи 258 НК РФ) (подпункт 6 пункта 2 статьи 259.3 НК РФ).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97"/>
      </w:tblGrid>
      <w:tr w:rsidR="001E6AE9" w:rsidRPr="001E6AE9" w:rsidTr="001E6AE9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8897" w:type="dxa"/>
          </w:tcPr>
          <w:p w:rsidR="001E6AE9" w:rsidRPr="001E6AE9" w:rsidRDefault="001E6AE9" w:rsidP="001E6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AE9">
              <w:rPr>
                <w:rFonts w:ascii="Times New Roman" w:hAnsi="Times New Roman" w:cs="Times New Roman"/>
                <w:sz w:val="28"/>
                <w:szCs w:val="28"/>
              </w:rPr>
              <w:t>Одновременно ФНС России обращает внимание, что с кодом 616 в Приложении № 1 к декларации отражаются доходы, не учитываемые налогоплательщиком при определении налоговой базы, в виде сумм прекращенных в 2022 году обязательств по договору займа (кредита), заимодавцем (кредитором) по которому на 1 марта 2022 года является иностранная организация (иностранный гражданин), в случае принятия решения о прощении долга такой иностранной организацией (иностранным гражданином) либо иностранной организацией (иностранным гражданином) или российской организацией (фи</w:t>
            </w:r>
            <w:bookmarkStart w:id="0" w:name="_GoBack"/>
            <w:bookmarkEnd w:id="0"/>
            <w:r w:rsidRPr="001E6AE9">
              <w:rPr>
                <w:rFonts w:ascii="Times New Roman" w:hAnsi="Times New Roman" w:cs="Times New Roman"/>
                <w:sz w:val="28"/>
                <w:szCs w:val="28"/>
              </w:rPr>
              <w:t xml:space="preserve">зическим лицом), получившей (получившим) право требования по такому договору займа (кредита) до 31 декабря 2022 года (в том числе процентов, учтенных в составе внереализационных расходов) (подпункт 21.5 пункта 1 статьи 251 НК РФ). Действительный </w:t>
            </w:r>
          </w:p>
        </w:tc>
      </w:tr>
      <w:tr w:rsidR="001E6AE9" w:rsidRPr="001E6AE9" w:rsidTr="001E6AE9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8897" w:type="dxa"/>
          </w:tcPr>
          <w:p w:rsidR="001E6AE9" w:rsidRDefault="001E6AE9" w:rsidP="001E6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1E6AE9" w:rsidRPr="001E6AE9" w:rsidRDefault="001E6AE9" w:rsidP="001E6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6AE9" w:rsidRPr="001E6AE9" w:rsidRDefault="001E6AE9" w:rsidP="001E6AE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E6AE9" w:rsidRPr="001E6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AE9"/>
    <w:rsid w:val="00055971"/>
    <w:rsid w:val="001E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0E3E7A7-546D-463F-93B2-63C6F880E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E6A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Голубков Игорь Николаевич</dc:creator>
  <cp:keywords/>
  <dc:description/>
  <cp:lastModifiedBy>Голубков Игорь Николаевич</cp:lastModifiedBy>
  <cp:revision>1</cp:revision>
  <dcterms:created xsi:type="dcterms:W3CDTF">2023-03-15T14:30:00Z</dcterms:created>
  <dcterms:modified xsi:type="dcterms:W3CDTF">2023-03-15T14:33:00Z</dcterms:modified>
</cp:coreProperties>
</file>