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742E7C11"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76109B">
        <w:rPr>
          <w:rFonts w:ascii="Times New Roman" w:hAnsi="Times New Roman" w:cs="Times New Roman"/>
          <w:b/>
          <w:bCs/>
          <w:sz w:val="28"/>
          <w:szCs w:val="28"/>
        </w:rPr>
        <w:t>18</w:t>
      </w:r>
      <w:r w:rsidR="009F45C2">
        <w:rPr>
          <w:rFonts w:ascii="Times New Roman" w:hAnsi="Times New Roman" w:cs="Times New Roman"/>
          <w:b/>
          <w:bCs/>
          <w:sz w:val="28"/>
          <w:szCs w:val="28"/>
        </w:rPr>
        <w:t xml:space="preserve"> октября </w:t>
      </w:r>
      <w:r w:rsidR="00B21EBB" w:rsidRPr="00B21EBB">
        <w:rPr>
          <w:rFonts w:ascii="Times New Roman" w:hAnsi="Times New Roman" w:cs="Times New Roman"/>
          <w:b/>
          <w:bCs/>
          <w:sz w:val="28"/>
          <w:szCs w:val="28"/>
        </w:rPr>
        <w:t xml:space="preserve">2017 г. № </w:t>
      </w:r>
      <w:r w:rsidR="0076109B">
        <w:rPr>
          <w:rFonts w:ascii="Times New Roman" w:hAnsi="Times New Roman" w:cs="Times New Roman"/>
          <w:b/>
          <w:bCs/>
          <w:sz w:val="28"/>
          <w:szCs w:val="28"/>
        </w:rPr>
        <w:t>1</w:t>
      </w:r>
      <w:r w:rsidR="00114D1A">
        <w:rPr>
          <w:rFonts w:ascii="Times New Roman" w:hAnsi="Times New Roman" w:cs="Times New Roman"/>
          <w:b/>
          <w:bCs/>
          <w:sz w:val="28"/>
          <w:szCs w:val="28"/>
        </w:rPr>
        <w:t>9</w:t>
      </w:r>
      <w:r w:rsidR="00F70FE3">
        <w:rPr>
          <w:rFonts w:ascii="Times New Roman" w:hAnsi="Times New Roman" w:cs="Times New Roman"/>
          <w:b/>
          <w:bCs/>
          <w:sz w:val="28"/>
          <w:szCs w:val="28"/>
        </w:rPr>
        <w:t>2</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ED6630" w:rsidRPr="00ED6630">
        <w:rPr>
          <w:rFonts w:ascii="Times New Roman" w:hAnsi="Times New Roman" w:cs="Times New Roman"/>
          <w:b/>
          <w:bCs/>
          <w:sz w:val="28"/>
          <w:szCs w:val="28"/>
        </w:rPr>
        <w:t>При</w:t>
      </w:r>
      <w:r w:rsidR="00F70FE3">
        <w:rPr>
          <w:rFonts w:ascii="Times New Roman" w:hAnsi="Times New Roman" w:cs="Times New Roman"/>
          <w:b/>
          <w:bCs/>
          <w:sz w:val="28"/>
          <w:szCs w:val="28"/>
        </w:rPr>
        <w:t>дорожного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45C2"/>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F72FA"/>
    <w:rsid w:val="00E76267"/>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69</Pages>
  <Words>19282</Words>
  <Characters>109911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2022-06-28T06:53:00Z</dcterms:created>
  <dcterms:modified xsi:type="dcterms:W3CDTF">2022-06-28T12:10:00Z</dcterms:modified>
</cp:coreProperties>
</file>