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AA1DA3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1A527092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Новоминская,</w:t>
      </w:r>
    </w:p>
    <w:p w14:paraId="11B53DF1" w14:textId="19B2106D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5D86">
        <w:rPr>
          <w:rFonts w:ascii="Times New Roman" w:hAnsi="Times New Roman" w:cs="Times New Roman"/>
          <w:b/>
          <w:bCs/>
          <w:sz w:val="28"/>
          <w:szCs w:val="28"/>
        </w:rPr>
        <w:t>Советская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45D86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6C873ACB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23:11:0202</w:t>
      </w:r>
      <w:r w:rsidR="00852CD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45D8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45D86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E45D86">
        <w:rPr>
          <w:rFonts w:ascii="Times New Roman" w:eastAsia="Times New Roman" w:hAnsi="Times New Roman" w:cs="Times New Roman"/>
          <w:sz w:val="28"/>
          <w:szCs w:val="28"/>
          <w:lang w:eastAsia="ar-SA"/>
        </w:rPr>
        <w:t>1300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Новоминская,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45D8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E45D86"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r w:rsidR="00E45D86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Смородину Валентину Васильевну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6BCF0A8A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E45D86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5D86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E45D8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E45D86">
        <w:rPr>
          <w:rFonts w:ascii="Times New Roman" w:eastAsia="Times New Roman" w:hAnsi="Times New Roman" w:cs="Times New Roman"/>
          <w:sz w:val="28"/>
          <w:szCs w:val="28"/>
          <w:lang w:eastAsia="ar-SA"/>
        </w:rPr>
        <w:t>1220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408C0E49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Буря Д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57C3E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A1C09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1DA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45D86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60</cp:revision>
  <cp:lastPrinted>2023-05-23T08:51:00Z</cp:lastPrinted>
  <dcterms:created xsi:type="dcterms:W3CDTF">2021-12-28T08:16:00Z</dcterms:created>
  <dcterms:modified xsi:type="dcterms:W3CDTF">2023-05-26T12:36:00Z</dcterms:modified>
</cp:coreProperties>
</file>