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8C3E" w14:textId="77777777" w:rsidR="00270FD7" w:rsidRPr="00F65607" w:rsidRDefault="00270FD7" w:rsidP="00270FD7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62"/>
        <w:gridCol w:w="78"/>
        <w:gridCol w:w="421"/>
        <w:gridCol w:w="206"/>
        <w:gridCol w:w="77"/>
        <w:gridCol w:w="483"/>
        <w:gridCol w:w="140"/>
        <w:gridCol w:w="140"/>
        <w:gridCol w:w="140"/>
        <w:gridCol w:w="90"/>
        <w:gridCol w:w="190"/>
        <w:gridCol w:w="377"/>
        <w:gridCol w:w="38"/>
        <w:gridCol w:w="285"/>
        <w:gridCol w:w="385"/>
        <w:gridCol w:w="175"/>
        <w:gridCol w:w="140"/>
        <w:gridCol w:w="1312"/>
      </w:tblGrid>
      <w:tr w:rsidR="00550D88" w:rsidRPr="00550D88" w14:paraId="1E092F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8E1D5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50D88">
              <w:rPr>
                <w:bCs/>
                <w:szCs w:val="28"/>
              </w:rPr>
              <w:t>Сводный отчёт</w:t>
            </w:r>
            <w:r w:rsidRPr="00550D88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550D88" w14:paraId="79CCF7A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172525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C256AA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74639D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 Общая информация</w:t>
            </w:r>
          </w:p>
        </w:tc>
      </w:tr>
      <w:tr w:rsidR="00550D88" w:rsidRPr="00550D88" w14:paraId="190ED1B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78A2E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1.1. Регулирующий орган:</w:t>
            </w:r>
          </w:p>
        </w:tc>
      </w:tr>
      <w:tr w:rsidR="00550D88" w:rsidRPr="00550D88" w14:paraId="1BFA555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0F455" w14:textId="3CE020D6" w:rsidR="00550D88" w:rsidRPr="005B1B4A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67F3">
              <w:rPr>
                <w:szCs w:val="28"/>
                <w:u w:val="single"/>
              </w:rPr>
              <w:t>Управл</w:t>
            </w:r>
            <w:r w:rsidR="007D67F3" w:rsidRPr="007D67F3">
              <w:rPr>
                <w:szCs w:val="28"/>
                <w:u w:val="single"/>
              </w:rPr>
              <w:t>ение</w:t>
            </w:r>
            <w:r w:rsidRPr="007D67F3">
              <w:rPr>
                <w:szCs w:val="28"/>
                <w:u w:val="single"/>
              </w:rPr>
              <w:t xml:space="preserve"> с</w:t>
            </w:r>
            <w:r w:rsidR="007D67F3" w:rsidRPr="007D67F3">
              <w:rPr>
                <w:szCs w:val="28"/>
                <w:u w:val="single"/>
              </w:rPr>
              <w:t>ельского хозяйства и продовольствия администрации</w:t>
            </w:r>
            <w:r w:rsidR="007D67F3">
              <w:rPr>
                <w:szCs w:val="28"/>
              </w:rPr>
              <w:t xml:space="preserve"> муниципального образования Каневской район</w:t>
            </w:r>
            <w:r w:rsidR="005B1B4A" w:rsidRPr="005B1B4A">
              <w:rPr>
                <w:szCs w:val="28"/>
              </w:rPr>
              <w:t xml:space="preserve"> (</w:t>
            </w:r>
            <w:r w:rsidR="005B1B4A">
              <w:rPr>
                <w:szCs w:val="28"/>
              </w:rPr>
              <w:t>Управление сельского хозяйства)</w:t>
            </w:r>
          </w:p>
        </w:tc>
      </w:tr>
      <w:tr w:rsidR="00550D88" w:rsidRPr="00550D88" w14:paraId="5D93568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DA7E89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550D88" w14:paraId="4948EEE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6B592C" w14:textId="589948E5" w:rsidR="00550D88" w:rsidRPr="00550D88" w:rsidRDefault="00550D88" w:rsidP="007D67F3">
            <w:pPr>
              <w:pStyle w:val="2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7D67F3">
              <w:rPr>
                <w:szCs w:val="28"/>
              </w:rPr>
              <w:t xml:space="preserve">Постановление </w:t>
            </w:r>
            <w:r w:rsidR="00F9444C">
              <w:rPr>
                <w:szCs w:val="28"/>
              </w:rPr>
              <w:t xml:space="preserve">администрации муниципального образования Каневской район </w:t>
            </w:r>
            <w:r w:rsidR="007D67F3">
              <w:rPr>
                <w:szCs w:val="28"/>
              </w:rPr>
              <w:t>«</w:t>
            </w:r>
            <w:r w:rsidR="007D67F3" w:rsidRPr="007D67F3">
              <w:rPr>
                <w:bCs/>
                <w:szCs w:val="28"/>
              </w:rPr>
              <w:t>О внесении изменений в постановление администрации  муниципального образов</w:t>
            </w:r>
            <w:r w:rsidR="00F9444C">
              <w:rPr>
                <w:bCs/>
                <w:szCs w:val="28"/>
              </w:rPr>
              <w:t>ания Каневской район от 28 июля</w:t>
            </w:r>
            <w:r w:rsidR="007D67F3" w:rsidRPr="007D67F3">
              <w:rPr>
                <w:bCs/>
                <w:szCs w:val="28"/>
              </w:rPr>
              <w:t xml:space="preserve"> 2021 года № 1183                       «Об утверждении Порядка  предоставления за счет сре</w:t>
            </w:r>
            <w:r w:rsidR="00F9444C">
              <w:rPr>
                <w:bCs/>
                <w:szCs w:val="28"/>
              </w:rPr>
              <w:t>дств краевого бюджета субсидий</w:t>
            </w:r>
            <w:r w:rsidR="007D67F3" w:rsidRPr="007D67F3">
              <w:rPr>
                <w:bCs/>
                <w:color w:val="000000"/>
                <w:szCs w:val="28"/>
              </w:rPr>
              <w:t xml:space="preserve"> 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Каневской район»</w:t>
            </w:r>
          </w:p>
        </w:tc>
      </w:tr>
      <w:tr w:rsidR="00550D88" w:rsidRPr="00550D88" w14:paraId="065C7AC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2394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9583CC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DF65F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E42FB4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9207C0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550D88" w14:paraId="7217CFA4" w14:textId="77777777" w:rsidTr="002D297F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AF7BE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39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06ED0" w14:textId="2AFA9603" w:rsidR="00550D88" w:rsidRPr="00550D88" w:rsidRDefault="005E7EC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0231B">
              <w:rPr>
                <w:szCs w:val="28"/>
              </w:rPr>
              <w:t xml:space="preserve"> кв</w:t>
            </w:r>
            <w:r w:rsidR="007D67F3">
              <w:rPr>
                <w:szCs w:val="28"/>
              </w:rPr>
              <w:t>артал</w:t>
            </w:r>
            <w:r w:rsidR="00A0231B">
              <w:rPr>
                <w:szCs w:val="28"/>
              </w:rPr>
              <w:t xml:space="preserve"> 2022</w:t>
            </w:r>
            <w:r w:rsidR="00F9444C">
              <w:rPr>
                <w:szCs w:val="28"/>
              </w:rPr>
              <w:t xml:space="preserve"> </w:t>
            </w:r>
            <w:r w:rsidR="007D67F3">
              <w:rPr>
                <w:szCs w:val="28"/>
              </w:rPr>
              <w:t>г</w:t>
            </w:r>
            <w:r w:rsidR="00F9444C">
              <w:rPr>
                <w:szCs w:val="28"/>
              </w:rPr>
              <w:t>.</w:t>
            </w:r>
          </w:p>
        </w:tc>
      </w:tr>
      <w:tr w:rsidR="00550D88" w:rsidRPr="00550D88" w14:paraId="50E165F0" w14:textId="77777777" w:rsidTr="002D297F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5BB9E" w14:textId="40C48CED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39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7B6BC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550D88" w14:paraId="7E81566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108313" w14:textId="08E7DE6D" w:rsidR="00550D88" w:rsidRPr="00F9444C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444C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  <w:r w:rsidR="00A0231B" w:rsidRPr="00F9444C">
              <w:rPr>
                <w:szCs w:val="28"/>
              </w:rPr>
              <w:t>в связи с изменением постановл</w:t>
            </w:r>
            <w:r w:rsidR="007D67F3" w:rsidRPr="00F9444C">
              <w:rPr>
                <w:szCs w:val="28"/>
              </w:rPr>
              <w:t>ения</w:t>
            </w:r>
            <w:r w:rsidR="00A0231B" w:rsidRPr="00F9444C">
              <w:rPr>
                <w:szCs w:val="28"/>
              </w:rPr>
              <w:t xml:space="preserve"> губернатора</w:t>
            </w:r>
            <w:r w:rsidR="007D67F3" w:rsidRPr="00F9444C">
              <w:rPr>
                <w:szCs w:val="28"/>
              </w:rPr>
              <w:t xml:space="preserve"> от 25 июля 2017 года № 550 "Об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</w:t>
            </w:r>
            <w:r w:rsidR="005E7EC7">
              <w:rPr>
                <w:szCs w:val="28"/>
              </w:rPr>
              <w:t>Законом Краснодарского края от 28 января 2009 года № 1690-КЗ «О развитии сельского хозяйства в Краснодарском крае», Законом Краснодарского края от 5 мая 2019 года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      </w:r>
          </w:p>
        </w:tc>
      </w:tr>
      <w:tr w:rsidR="00550D88" w:rsidRPr="00550D88" w14:paraId="2406A0A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99D7" w14:textId="77777777" w:rsidR="00550D88" w:rsidRPr="00F9444C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1C18C1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4DEE7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11674D4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9273D4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550D88" w14:paraId="4908E8E7" w14:textId="77777777" w:rsidTr="005E7EC7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30C46E7" w14:textId="2A3C0098" w:rsidR="00550D88" w:rsidRPr="00550D88" w:rsidRDefault="001839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государственной поддержки.</w:t>
            </w:r>
          </w:p>
        </w:tc>
      </w:tr>
      <w:tr w:rsidR="00550D88" w:rsidRPr="00550D88" w14:paraId="32DCEEE2" w14:textId="77777777" w:rsidTr="005E7EC7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E3C8591" w14:textId="353E1689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550D88">
              <w:rPr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550D88" w14:paraId="0494E9D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51A75" w14:textId="3A987BEE" w:rsidR="00550D88" w:rsidRPr="00550D88" w:rsidRDefault="00F97691" w:rsidP="00B77110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>
              <w:rPr>
                <w:szCs w:val="28"/>
              </w:rPr>
              <w:t>Признаны утратившими силу положения, устанавливающие, что направления государст</w:t>
            </w:r>
            <w:r w:rsidR="00B77110">
              <w:rPr>
                <w:szCs w:val="28"/>
              </w:rPr>
              <w:t xml:space="preserve">венной поддержки за счет средств краевого бюджета, не предусматривающие установленный уровень </w:t>
            </w:r>
            <w:proofErr w:type="spellStart"/>
            <w:r w:rsidR="00B77110">
              <w:rPr>
                <w:szCs w:val="28"/>
              </w:rPr>
              <w:t>софинансирования</w:t>
            </w:r>
            <w:proofErr w:type="spellEnd"/>
            <w:r w:rsidR="00B77110">
              <w:rPr>
                <w:szCs w:val="28"/>
              </w:rPr>
              <w:t xml:space="preserve"> за счет средств федерального бюджета, реализуются при отсутствии задолженности по уплате налогов, сборов, пеней, штрафов, просроченной задолженности по заработной плате на первое число месяца, в котором подано заявление о предоставлении субсидий, задолженности по арендной плате на землю и имущество, находящиеся в государственной собственности Краснодарского края. Перечень видов государственной поддержки развития крестьянских (фермерских) хозяйств и личных подсобных хозяйств дополнен субсидией «возмещение части затрат на строительство теплиц для выращивания овощей и (или) ягод в защищенном грунте»</w:t>
            </w:r>
          </w:p>
        </w:tc>
      </w:tr>
      <w:tr w:rsidR="00550D88" w:rsidRPr="00550D88" w14:paraId="0A100B8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FDC008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  <w:p w14:paraId="160CF497" w14:textId="70EC69B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550D88">
              <w:rPr>
                <w:szCs w:val="28"/>
              </w:rPr>
              <w:t>1.6.1. Степень регулирующего</w:t>
            </w:r>
            <w:bookmarkEnd w:id="1"/>
            <w:r w:rsidR="00F059FC">
              <w:rPr>
                <w:szCs w:val="28"/>
              </w:rPr>
              <w:t xml:space="preserve"> воздействия:</w:t>
            </w:r>
            <w:r w:rsidR="00FF0181">
              <w:rPr>
                <w:szCs w:val="28"/>
              </w:rPr>
              <w:t xml:space="preserve"> </w:t>
            </w:r>
            <w:r w:rsidR="00A0231B" w:rsidRPr="00FF0181">
              <w:rPr>
                <w:szCs w:val="28"/>
                <w:u w:val="single"/>
              </w:rPr>
              <w:t>средняя</w:t>
            </w:r>
            <w:r w:rsidR="00FF0181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3D8A2C9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96857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Обоснование степени регулирующего воздействия:</w:t>
            </w:r>
          </w:p>
        </w:tc>
      </w:tr>
      <w:tr w:rsidR="00550D88" w:rsidRPr="00550D88" w14:paraId="123F9D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B12A" w14:textId="38A08C37" w:rsidR="00550D88" w:rsidRPr="00FF0181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F0181">
              <w:rPr>
                <w:szCs w:val="28"/>
              </w:rPr>
              <w:t xml:space="preserve">Данный </w:t>
            </w:r>
            <w:r w:rsidR="00FF0181" w:rsidRPr="00FF0181">
              <w:rPr>
                <w:szCs w:val="28"/>
              </w:rPr>
              <w:t>НПА</w:t>
            </w:r>
            <w:r w:rsidRPr="00FF0181">
              <w:rPr>
                <w:szCs w:val="28"/>
              </w:rPr>
              <w:t xml:space="preserve"> содержит пр</w:t>
            </w:r>
            <w:r w:rsidR="00FF0181" w:rsidRPr="00FF0181">
              <w:rPr>
                <w:szCs w:val="28"/>
              </w:rPr>
              <w:t>ед</w:t>
            </w:r>
            <w:r w:rsidRPr="00FF0181">
              <w:rPr>
                <w:szCs w:val="28"/>
              </w:rPr>
              <w:t>ложения, изменяющие ран</w:t>
            </w:r>
            <w:r w:rsidR="00FF0181" w:rsidRPr="00FF0181">
              <w:rPr>
                <w:szCs w:val="28"/>
              </w:rPr>
              <w:t>е</w:t>
            </w:r>
            <w:r w:rsidRPr="00FF0181">
              <w:rPr>
                <w:szCs w:val="28"/>
              </w:rPr>
              <w:t>е предусмотренные м</w:t>
            </w:r>
            <w:r w:rsidR="00FF0181" w:rsidRPr="00FF0181">
              <w:rPr>
                <w:szCs w:val="28"/>
              </w:rPr>
              <w:t>униципальным НПА</w:t>
            </w:r>
            <w:r w:rsidRPr="00FF0181">
              <w:rPr>
                <w:szCs w:val="28"/>
              </w:rPr>
              <w:t xml:space="preserve"> обязательные требования для субъектов предпр</w:t>
            </w:r>
            <w:r w:rsidR="00FF0181" w:rsidRPr="00FF0181">
              <w:rPr>
                <w:szCs w:val="28"/>
              </w:rPr>
              <w:t>инимательской</w:t>
            </w:r>
            <w:r w:rsidRPr="00FF0181">
              <w:rPr>
                <w:szCs w:val="28"/>
              </w:rPr>
              <w:t xml:space="preserve"> </w:t>
            </w:r>
            <w:r w:rsidR="00FF0181" w:rsidRPr="00FF0181">
              <w:rPr>
                <w:szCs w:val="28"/>
              </w:rPr>
              <w:t>и</w:t>
            </w:r>
            <w:r w:rsidRPr="00FF0181">
              <w:rPr>
                <w:szCs w:val="28"/>
              </w:rPr>
              <w:t xml:space="preserve"> иной экономич</w:t>
            </w:r>
            <w:r w:rsidR="00FF0181" w:rsidRPr="00FF0181">
              <w:rPr>
                <w:szCs w:val="28"/>
              </w:rPr>
              <w:t>еской</w:t>
            </w:r>
            <w:r w:rsidRPr="00FF0181">
              <w:rPr>
                <w:szCs w:val="28"/>
              </w:rPr>
              <w:t xml:space="preserve"> </w:t>
            </w:r>
            <w:r w:rsidR="00FF0181" w:rsidRPr="00FF0181">
              <w:rPr>
                <w:szCs w:val="28"/>
              </w:rPr>
              <w:t>д</w:t>
            </w:r>
            <w:r w:rsidRPr="00FF0181">
              <w:rPr>
                <w:szCs w:val="28"/>
              </w:rPr>
              <w:t>еятельности, обязанности для субъектов иной инвестиционной деятельности</w:t>
            </w:r>
            <w:r w:rsidR="00F059FC">
              <w:rPr>
                <w:szCs w:val="28"/>
              </w:rPr>
              <w:t>.</w:t>
            </w:r>
          </w:p>
        </w:tc>
      </w:tr>
      <w:tr w:rsidR="00550D88" w:rsidRPr="00550D88" w14:paraId="76135FF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8C2FD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C5CC66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551D9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550D88" w14:paraId="08BF1838" w14:textId="77777777" w:rsidTr="002D297F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3F2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Ф.И.О.</w:t>
            </w:r>
          </w:p>
        </w:tc>
        <w:tc>
          <w:tcPr>
            <w:tcW w:w="851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8312" w14:textId="7D5F96EB" w:rsidR="00550D88" w:rsidRPr="00550D88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Маркина</w:t>
            </w:r>
            <w:r w:rsidR="00FF0181">
              <w:rPr>
                <w:szCs w:val="28"/>
              </w:rPr>
              <w:t xml:space="preserve"> Лариса Владимировна</w:t>
            </w:r>
          </w:p>
        </w:tc>
      </w:tr>
      <w:tr w:rsidR="00550D88" w:rsidRPr="00550D88" w14:paraId="1F150649" w14:textId="77777777" w:rsidTr="002D297F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0C52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Должность:</w:t>
            </w:r>
          </w:p>
        </w:tc>
        <w:tc>
          <w:tcPr>
            <w:tcW w:w="795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4F53" w14:textId="641B3AB8" w:rsidR="00550D88" w:rsidRPr="00550D88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сектора по работе с малыми формами хозяйствования </w:t>
            </w:r>
          </w:p>
        </w:tc>
      </w:tr>
      <w:tr w:rsidR="00550D88" w:rsidRPr="00550D88" w14:paraId="1861F3EC" w14:textId="77777777" w:rsidTr="002D297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9EDDF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E09D" w14:textId="07052305" w:rsidR="00550D88" w:rsidRPr="00550D88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7-24-27</w:t>
            </w: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D3DF9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Адрес электронной почты:</w:t>
            </w:r>
          </w:p>
        </w:tc>
        <w:tc>
          <w:tcPr>
            <w:tcW w:w="32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AE07" w14:textId="60DF13B0" w:rsidR="00550D88" w:rsidRPr="00FF0181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vip.tanne@mail.ru</w:t>
            </w:r>
          </w:p>
        </w:tc>
      </w:tr>
      <w:tr w:rsidR="00550D88" w:rsidRPr="00550D88" w14:paraId="7E112C05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0D7731D" w14:textId="1A12F840" w:rsidR="00550D88" w:rsidRPr="00550D88" w:rsidRDefault="00550D88" w:rsidP="004C787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A0231B">
              <w:rPr>
                <w:szCs w:val="28"/>
              </w:rPr>
              <w:t>невозможность предоставления гос</w:t>
            </w:r>
            <w:r w:rsidR="0053443C">
              <w:rPr>
                <w:szCs w:val="28"/>
              </w:rPr>
              <w:t xml:space="preserve">ударственной </w:t>
            </w:r>
            <w:r w:rsidR="00A0231B">
              <w:rPr>
                <w:szCs w:val="28"/>
              </w:rPr>
              <w:t xml:space="preserve">поддержки </w:t>
            </w:r>
            <w:r w:rsidR="0053443C">
              <w:rPr>
                <w:szCs w:val="28"/>
              </w:rPr>
              <w:t>сельскохозяйственным т</w:t>
            </w:r>
            <w:r w:rsidR="00A0231B">
              <w:rPr>
                <w:szCs w:val="28"/>
              </w:rPr>
              <w:t>оваропроизводителям</w:t>
            </w:r>
            <w:r w:rsidR="0053443C">
              <w:rPr>
                <w:szCs w:val="28"/>
              </w:rPr>
              <w:t>.</w:t>
            </w:r>
          </w:p>
          <w:p w14:paraId="6467D2DC" w14:textId="77777777" w:rsidR="00550D88" w:rsidRPr="00550D88" w:rsidRDefault="00550D88" w:rsidP="005344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73A6DE7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3D2A8E9" w14:textId="5E0AEB9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Признаны утратившими силу положения, устанавливающие, что направления государственной поддержки за счет средств краевого бюджета, не предусматривающие установленный уровень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за счет средств федерального бюджета, реализуются при отсутствии задолженности по уплате налогов, сборов, пеней, штрафов, просроченной задолженности по заработной плате на первое число месяца, в котором подано заявление о предоставлении субсидий, задолженности по арендной плате на землю и имущество, находящиеся в государственной собственности Краснодарского края. Перечень видов государственной поддержки развития крестьянских (фермерских) хозяйств и личных подсобных хозяйств дополнен субсидией «возмещение части затрат на строительство теплиц для выращивания овощей и (или) ягод в защищенном грунте»</w:t>
            </w:r>
          </w:p>
        </w:tc>
      </w:tr>
      <w:tr w:rsidR="00F32AEF" w:rsidRPr="00550D88" w14:paraId="274CCBF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163C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3DA3C69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838947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3C28FFB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0634E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F32AEF" w:rsidRPr="00550D88" w14:paraId="1ED1DAF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65830" w14:textId="291A0ACB" w:rsidR="00F32AEF" w:rsidRPr="005678D7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78D7">
              <w:rPr>
                <w:szCs w:val="28"/>
              </w:rPr>
              <w:t>Изменение некоторых требований к подаваемым документам</w:t>
            </w:r>
          </w:p>
        </w:tc>
      </w:tr>
      <w:tr w:rsidR="00F32AEF" w:rsidRPr="00550D88" w14:paraId="2A23017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3CA120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0F78D00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BFB36F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F32AEF" w:rsidRPr="00550D88" w14:paraId="7292874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0EFF6" w14:textId="320F48F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Сельскохозяйственные товаропроизводители (КФХ, ЛПХ, ИП, занимающиеся сельскохозяйственным производством)</w:t>
            </w:r>
          </w:p>
        </w:tc>
      </w:tr>
      <w:tr w:rsidR="00F32AEF" w:rsidRPr="00550D88" w14:paraId="54BD0FD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5CC9F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47AF1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414FEA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F32AEF" w:rsidRPr="00550D88" w14:paraId="3FC038B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95CF6" w14:textId="2189794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Невозможность предоставления господдержки сельскохозяйственным товаропроизводителям</w:t>
            </w:r>
          </w:p>
        </w:tc>
      </w:tr>
      <w:tr w:rsidR="00F32AEF" w:rsidRPr="00550D88" w14:paraId="2C2A091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C4C74C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1CCD2D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AC3DD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F32AEF" w:rsidRPr="00550D88" w14:paraId="04FDF4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7B39" w14:textId="771E8AA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Изменение нормативно-правового акта</w:t>
            </w:r>
          </w:p>
        </w:tc>
      </w:tr>
      <w:tr w:rsidR="00F32AEF" w:rsidRPr="00550D88" w14:paraId="1C2840B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DA348B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20E5D35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4839F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F32AEF" w:rsidRPr="00550D88" w14:paraId="35F0317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97312" w14:textId="7060ACE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Нормативно-правовой акт издается в пределах своей компетенции органами местного самоуправления</w:t>
            </w:r>
          </w:p>
        </w:tc>
      </w:tr>
      <w:tr w:rsidR="00F32AEF" w:rsidRPr="00550D88" w14:paraId="14DA409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A55C7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55174DB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3EBB8A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F32AEF" w:rsidRPr="00550D88" w14:paraId="05B6F6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DFD2F" w14:textId="64EE59D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Данная проблема решена аналогичным образом</w:t>
            </w:r>
          </w:p>
        </w:tc>
      </w:tr>
      <w:tr w:rsidR="00F32AEF" w:rsidRPr="00550D88" w14:paraId="3FDF6A0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24F53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61610D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F2CFA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2.8. Источники данных:</w:t>
            </w:r>
          </w:p>
        </w:tc>
      </w:tr>
      <w:tr w:rsidR="00F32AEF" w:rsidRPr="00550D88" w14:paraId="3BBA584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0DEA5" w14:textId="12AC444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F32AEF" w:rsidRPr="00550D88" w14:paraId="0DDEEC6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D96AB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37535A2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C201F0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2.9. Иная информация о проблеме:</w:t>
            </w:r>
          </w:p>
        </w:tc>
      </w:tr>
      <w:tr w:rsidR="00F32AEF" w:rsidRPr="00550D88" w14:paraId="62DAABA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B216" w14:textId="7C53DE0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F32AEF" w:rsidRPr="00550D88" w14:paraId="292332E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9F78E8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3A46171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66560F9" w14:textId="4D31404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550D88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F32AEF" w:rsidRPr="00550D88" w14:paraId="202979D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F1612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6565E3D2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1C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6D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550D88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9FE8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32AEF" w:rsidRPr="00550D88" w14:paraId="3C52A9B3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5E6" w14:textId="4F6419B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при приеме документов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2F6" w14:textId="4078B81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вступления в силу НПА</w:t>
            </w:r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7E900" w14:textId="7FBE057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F32AEF" w:rsidRPr="00550D88" w14:paraId="1B66B68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219BE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555212E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E740E36" w14:textId="4DA36FF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</w:t>
            </w:r>
            <w:r w:rsidRPr="00550D88">
              <w:rPr>
                <w:szCs w:val="28"/>
              </w:rPr>
              <w:lastRenderedPageBreak/>
              <w:t xml:space="preserve">регулирования в данной области, которые определяют необходимость постановки указанных целей: </w:t>
            </w:r>
            <w:r w:rsidRPr="00F9444C">
              <w:rPr>
                <w:szCs w:val="28"/>
              </w:rPr>
              <w:t xml:space="preserve">в связи с изменением постановления губернатора от 25 июля 2017 года № 550 "Об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</w:t>
            </w:r>
            <w:r>
              <w:rPr>
                <w:szCs w:val="28"/>
              </w:rPr>
              <w:t>Законом Краснодарского края от 28 января 2009 года № 1690-КЗ «О развитии сельского хозяйства в Краснодарском крае», Законом Краснодарского края от 5 мая 2019 года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      </w:r>
          </w:p>
        </w:tc>
      </w:tr>
      <w:tr w:rsidR="00F32AEF" w:rsidRPr="00550D88" w14:paraId="30A5B7E9" w14:textId="77777777" w:rsidTr="00F32AEF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CB16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E120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F32AEF" w:rsidRPr="00550D88" w14:paraId="236AC50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8D2FA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36849AC4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A4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E3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550D88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41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DA58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F32AEF" w:rsidRPr="00550D88" w14:paraId="4D032D7B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E71" w14:textId="7782E10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при приеме документов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9FC" w14:textId="4FD053A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Заключение соглашения, достижение целевых показателей по результату деятельности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695" w14:textId="49D1731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Условная единица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DA65" w14:textId="6985F31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1E4C220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503652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370D8C7D" w14:textId="77777777" w:rsidTr="00F32AE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2E58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14:paraId="74EC243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2371AD8" w14:textId="2E5A6A3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отчетности  до 1 апреля года, следующего за отчетным для ЛПХ, до 20-го января для КФХ и ИП</w:t>
            </w:r>
          </w:p>
        </w:tc>
      </w:tr>
      <w:tr w:rsidR="00F32AEF" w:rsidRPr="00550D88" w14:paraId="50C3F76B" w14:textId="77777777" w:rsidTr="00F32AEF">
        <w:tc>
          <w:tcPr>
            <w:tcW w:w="963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35DD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D534D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F79672" w14:textId="2CD245E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 __</w:t>
            </w:r>
            <w:r w:rsidRPr="002D297F">
              <w:rPr>
                <w:szCs w:val="28"/>
                <w:u w:val="single"/>
              </w:rPr>
              <w:t>не требуется</w:t>
            </w:r>
            <w:r w:rsidRPr="00550D88">
              <w:rPr>
                <w:szCs w:val="28"/>
              </w:rPr>
              <w:t>________________</w:t>
            </w:r>
          </w:p>
        </w:tc>
      </w:tr>
      <w:tr w:rsidR="00F32AEF" w:rsidRPr="00550D88" w14:paraId="31BEAF7E" w14:textId="77777777" w:rsidTr="002D297F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CA9F6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511C7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0D6800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B5F449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F32AEF" w:rsidRPr="00550D88" w14:paraId="21E9717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FFAC1C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0B4F8FAB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C6E" w14:textId="74CBF86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550D88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2E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5B0E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4.3. Источники данных</w:t>
            </w:r>
          </w:p>
        </w:tc>
      </w:tr>
      <w:tr w:rsidR="00F32AEF" w:rsidRPr="00550D88" w14:paraId="13FDCDE6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421" w14:textId="639948B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КФХ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185" w14:textId="1120226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499C" w14:textId="69F5589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основании данных предшествующих текущему году</w:t>
            </w:r>
          </w:p>
        </w:tc>
      </w:tr>
      <w:tr w:rsidR="00F32AEF" w:rsidRPr="00550D88" w14:paraId="7D0CE47E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D6F" w14:textId="7C391B0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ЛПХ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CBE" w14:textId="0981A31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57816" w14:textId="07CF9FF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основании данных предшествующих текущему году</w:t>
            </w:r>
          </w:p>
        </w:tc>
      </w:tr>
      <w:tr w:rsidR="00F32AEF" w:rsidRPr="00550D88" w14:paraId="4303B109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364" w14:textId="1EE7491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9A3" w14:textId="7BDB15F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54B39" w14:textId="598B3F9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основании данных предшествующих текущему году</w:t>
            </w:r>
          </w:p>
        </w:tc>
      </w:tr>
      <w:tr w:rsidR="00F32AEF" w:rsidRPr="00550D88" w14:paraId="6E64C61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AB6C4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4DB4765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B1131E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F32AEF" w:rsidRPr="00550D88" w14:paraId="2FF596D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F2D828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4F6640CC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99E" w14:textId="66F7436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550D88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D5B" w14:textId="19D098A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5.2.Характер функции (новая / изменяемая / отменяемая)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8B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55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1444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F32AEF" w:rsidRPr="00550D88" w14:paraId="01361162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0D0B17F" w14:textId="4F8D4C60" w:rsidR="00F32AEF" w:rsidRPr="0038592E" w:rsidRDefault="00F32AEF" w:rsidP="00F32A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F32AEF" w:rsidRPr="00550D88" w14:paraId="416858E3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194" w14:textId="7F88131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Осуществление отбора способом запроса предложений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E5B" w14:textId="0830462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изменяемая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1E5" w14:textId="7B0EBB0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соответствии с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C31" w14:textId="56265AB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04CA0" w14:textId="1872607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45A77CB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03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A7B" w14:textId="727CB0B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4FA" w14:textId="3494D80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AB3" w14:textId="4D2FE27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E817D" w14:textId="410F3D2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54C1D09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DB2895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F32AEF" w:rsidRPr="00550D88" w14:paraId="4E6D0BB7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5D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641" w14:textId="76EA999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155" w14:textId="3FD67E6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BED" w14:textId="22BD215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548F7" w14:textId="4CB50F9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127EC02C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91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18B" w14:textId="592355B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815" w14:textId="3B9D1D9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526" w14:textId="1585BD5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EC380" w14:textId="46BE94D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28D210A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9F141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3EC6AC3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DD63BF3" w14:textId="6F60088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550D88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</w:p>
        </w:tc>
      </w:tr>
      <w:tr w:rsidR="00F32AEF" w:rsidRPr="00550D88" w14:paraId="6A28477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C9E37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79E3D7F6" w14:textId="77777777" w:rsidTr="002D297F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88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550D88">
                <w:rPr>
                  <w:sz w:val="24"/>
                  <w:szCs w:val="28"/>
                </w:rPr>
                <w:t>подпунктом 5.1 пункта 5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63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DC46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F32AEF" w:rsidRPr="00550D88" w14:paraId="362E24E4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34E0FBF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F32AEF" w:rsidRPr="00550D88" w14:paraId="47630EF5" w14:textId="77777777" w:rsidTr="002D297F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E9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1. Функция (полномочие, обязанность или право)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F9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7D780" w14:textId="7F29E33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7EF7555B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57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4E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8AD25" w14:textId="04FFAA5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54FF0C8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9F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1E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7F147" w14:textId="5F36F6A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171ECA7" w14:textId="77777777" w:rsidTr="002D297F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72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BC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9EAD0" w14:textId="5AA1CBE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097A740F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A4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CC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90039" w14:textId="0C17FED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6F42DE60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5C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A2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76C4F" w14:textId="0F9922A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9B153EB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43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F9F7" w14:textId="00D232C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70D98C19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A6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59D8A" w14:textId="1AF2262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68D1B27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A8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55290" w14:textId="56AD77C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00D15AD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E5793E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5677037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958E0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</w:p>
        </w:tc>
      </w:tr>
      <w:tr w:rsidR="00F32AEF" w:rsidRPr="00550D88" w14:paraId="157504C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D4FA4" w14:textId="5C5C7D5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F32AEF" w:rsidRPr="00550D88" w14:paraId="7B105E3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544CA4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6EFFB76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FBDAD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6.5. Источники данных:</w:t>
            </w:r>
          </w:p>
        </w:tc>
        <w:tc>
          <w:tcPr>
            <w:tcW w:w="65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863F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6BC101C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E9399" w14:textId="793D27B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F32AEF" w:rsidRPr="00550D88" w14:paraId="126D34F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6D83F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45014B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2968A9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F32AEF" w:rsidRPr="00550D88" w14:paraId="5676BA7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F381B2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18CEFFD6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85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550D88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550D88">
              <w:rPr>
                <w:color w:val="000000"/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35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FF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953C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F32AEF" w:rsidRPr="00550D88" w14:paraId="11725F65" w14:textId="77777777" w:rsidTr="002D297F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DB9" w14:textId="1C5B11F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КФХ, ИП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8E6" w14:textId="38FF133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к приему документов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F76" w14:textId="66025F3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DEEE4" w14:textId="7CF9C81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E866142" w14:textId="77777777" w:rsidTr="002D297F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2D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BF0" w14:textId="42D9CC9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направлений субсидирования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F36" w14:textId="47D4F665" w:rsidR="00F32AEF" w:rsidRPr="00550D88" w:rsidRDefault="006324A0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E6DC" w14:textId="157E84F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324A0" w:rsidRPr="00550D88" w14:paraId="4F9D0ABC" w14:textId="77777777" w:rsidTr="002D297F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AEC" w14:textId="47220952" w:rsidR="006324A0" w:rsidRPr="00550D88" w:rsidRDefault="006324A0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9CB" w14:textId="2CFD1742" w:rsidR="006324A0" w:rsidRPr="00550D88" w:rsidRDefault="006324A0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направлений субсидирования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676" w14:textId="40B97C32" w:rsidR="006324A0" w:rsidRPr="00550D88" w:rsidRDefault="006324A0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C548" w14:textId="31BF7A0E" w:rsidR="006324A0" w:rsidRPr="00550D88" w:rsidRDefault="006324A0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C5EEFF7" w14:textId="77777777" w:rsidTr="002D297F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54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8C1" w14:textId="335BC54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285" w14:textId="7ABB42A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AC48" w14:textId="19BA36C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315CB2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128BE3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7E81C35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20419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F32AEF" w:rsidRPr="00550D88" w14:paraId="0CE0627D" w14:textId="77777777" w:rsidTr="002D297F"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30510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23536" w14:textId="39C61994" w:rsidR="00F32AEF" w:rsidRPr="00550D88" w:rsidRDefault="00016AD3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Смягчение требований к </w:t>
            </w:r>
            <w:proofErr w:type="spellStart"/>
            <w:r>
              <w:rPr>
                <w:szCs w:val="28"/>
              </w:rPr>
              <w:t>докумен</w:t>
            </w:r>
            <w:proofErr w:type="spellEnd"/>
            <w:r>
              <w:rPr>
                <w:szCs w:val="28"/>
              </w:rPr>
              <w:t>-</w:t>
            </w:r>
            <w:r w:rsidR="00F32AEF">
              <w:rPr>
                <w:szCs w:val="28"/>
              </w:rPr>
              <w:t xml:space="preserve"> </w:t>
            </w:r>
          </w:p>
        </w:tc>
      </w:tr>
      <w:tr w:rsidR="00F32AEF" w:rsidRPr="00550D88" w14:paraId="03B6AFA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F1148" w14:textId="6B9052E1" w:rsidR="00F32AEF" w:rsidRPr="00550D88" w:rsidRDefault="00016AD3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там</w:t>
            </w:r>
            <w:r w:rsidR="00F32AEF">
              <w:rPr>
                <w:szCs w:val="28"/>
              </w:rPr>
              <w:t>, достижение целевых показателей.</w:t>
            </w:r>
          </w:p>
        </w:tc>
      </w:tr>
      <w:tr w:rsidR="00F32AEF" w:rsidRPr="00550D88" w14:paraId="7185D6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27D71D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F32AEF" w:rsidRPr="00550D88" w14:paraId="01A94796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8C1E5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7.6. Источники данных:</w:t>
            </w: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528C1" w14:textId="4F0E94E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32AEF" w:rsidRPr="00550D88" w14:paraId="71FABC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C064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F32AEF" w:rsidRPr="00550D88" w14:paraId="00BA68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27CB9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F2E06F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51621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F32AEF" w:rsidRPr="00550D88" w14:paraId="291D96E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CE36E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54108E33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63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7B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60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1601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F32AEF" w:rsidRPr="00550D88" w14:paraId="374370EB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2AE" w14:textId="3578192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Форсма-жорные</w:t>
            </w:r>
            <w:proofErr w:type="spellEnd"/>
            <w:r>
              <w:rPr>
                <w:sz w:val="24"/>
                <w:szCs w:val="28"/>
              </w:rPr>
              <w:t xml:space="preserve"> обстоятельства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1F" w14:textId="0262EB4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минимальна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F1CC" w14:textId="27E7A03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CE829" w14:textId="48E4277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частичный</w:t>
            </w:r>
          </w:p>
        </w:tc>
      </w:tr>
      <w:tr w:rsidR="00F32AEF" w:rsidRPr="00550D88" w14:paraId="0485541F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C34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82A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33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8F75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28EBCAD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9F8CD6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44A4196E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D19AA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8.5. Источники данных:</w:t>
            </w: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F9BA" w14:textId="2020F7F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Данные </w:t>
            </w:r>
            <w:proofErr w:type="spellStart"/>
            <w:r>
              <w:rPr>
                <w:szCs w:val="28"/>
              </w:rPr>
              <w:t>гисметео</w:t>
            </w:r>
            <w:proofErr w:type="spellEnd"/>
            <w:r>
              <w:rPr>
                <w:szCs w:val="28"/>
              </w:rPr>
              <w:t xml:space="preserve"> (гидрометцентр)</w:t>
            </w:r>
          </w:p>
        </w:tc>
      </w:tr>
      <w:tr w:rsidR="00F32AEF" w:rsidRPr="00550D88" w14:paraId="02B772E1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70680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53B0E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7FF4E5E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2BEE21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F32AEF" w:rsidRPr="00550D88" w14:paraId="2DDCB6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124DA6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207A26C8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48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7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30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2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BEE8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3</w:t>
            </w:r>
          </w:p>
        </w:tc>
      </w:tr>
      <w:tr w:rsidR="00F32AEF" w:rsidRPr="00550D88" w14:paraId="5EBB553A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E8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464" w14:textId="7C329A2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НПА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F31F" w14:textId="56439F9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Непринятие НПА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AA3A" w14:textId="005F694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70F24753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9F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EAE" w14:textId="122504E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Достижение целевых показателей и результатов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AA8" w14:textId="09FB14F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Отсутствие целевых показателей и результатов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39E2" w14:textId="67556DD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A129916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C2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DFC" w14:textId="3F19AEA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E86" w14:textId="3DB406A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затрат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E338" w14:textId="5364277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16F0762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E3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4C7" w14:textId="11AC532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1A1" w14:textId="4511E08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6771" w14:textId="444B4F0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0575797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05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550D88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550D88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A39" w14:textId="10F7FFE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Целевые показатели будут достигну-ты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DC7" w14:textId="77A1B0E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ind w:left="-40" w:right="-3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Целевые показатели не будут достигнуты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A19A9" w14:textId="1823CC5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9F5A6AB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49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CD3" w14:textId="75314EE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Минимизация рисков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0B6" w14:textId="148065D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Минимизация рисков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D0997" w14:textId="0BE7730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663E522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007CC8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F32AEF" w:rsidRPr="00550D88" w14:paraId="2B7D6FC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E2665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F32AEF" w:rsidRPr="002E5096" w14:paraId="4C13A295" w14:textId="77777777" w:rsidTr="0046202B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5DA1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проблемы:</w:t>
            </w:r>
          </w:p>
        </w:tc>
        <w:tc>
          <w:tcPr>
            <w:tcW w:w="79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AFD8CE9" w14:textId="219385F7" w:rsidR="00F32AEF" w:rsidRPr="002E5096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096">
              <w:rPr>
                <w:color w:val="000000"/>
                <w:szCs w:val="28"/>
              </w:rPr>
              <w:t>В связи с изменением постановления главы администрации (губернатора) Краснодарского к</w:t>
            </w:r>
            <w:r>
              <w:rPr>
                <w:color w:val="000000"/>
                <w:szCs w:val="28"/>
              </w:rPr>
              <w:t xml:space="preserve">рая от 25 июля 2017 года № 550 </w:t>
            </w:r>
            <w:r>
              <w:rPr>
                <w:color w:val="000000"/>
                <w:szCs w:val="28"/>
              </w:rPr>
              <w:lastRenderedPageBreak/>
              <w:t>«</w:t>
            </w:r>
            <w:r w:rsidRPr="002E5096">
              <w:rPr>
                <w:szCs w:val="28"/>
              </w:rPr>
              <w:t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szCs w:val="28"/>
              </w:rPr>
              <w:t>»</w:t>
            </w:r>
            <w:r w:rsidRPr="002E5096">
              <w:rPr>
                <w:szCs w:val="28"/>
              </w:rPr>
              <w:t>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      </w:r>
            <w:r>
              <w:rPr>
                <w:szCs w:val="28"/>
              </w:rPr>
              <w:t xml:space="preserve"> Вариант 1 предполагает регламентацию предоставления субсидий. Он предполагает изменение и уточнение условий субсидирования.</w:t>
            </w:r>
          </w:p>
        </w:tc>
      </w:tr>
      <w:tr w:rsidR="00F32AEF" w:rsidRPr="00550D88" w14:paraId="46F0AF2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031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4903C64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A7D03B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75C9856C" w14:textId="77777777" w:rsidTr="0046202B">
        <w:tc>
          <w:tcPr>
            <w:tcW w:w="818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0D9E92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378AE" w14:textId="386A656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32AEF" w:rsidRPr="00550D88" w14:paraId="455BAE9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74BF" w14:textId="6F4AC504" w:rsidR="00F32AEF" w:rsidRPr="00550D88" w:rsidRDefault="00016AD3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>
              <w:rPr>
                <w:szCs w:val="28"/>
              </w:rPr>
              <w:t>Расширение направлений субсидирования</w:t>
            </w:r>
            <w:r w:rsidR="00F74B12">
              <w:rPr>
                <w:szCs w:val="28"/>
              </w:rPr>
              <w:t>, смягчение требований к документам</w:t>
            </w:r>
          </w:p>
        </w:tc>
      </w:tr>
      <w:tr w:rsidR="00F32AEF" w:rsidRPr="00550D88" w14:paraId="4DECC80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9466DB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016AD3" w14:paraId="52652EA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FC34CC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F32AEF" w:rsidRPr="00550D88" w14:paraId="5374A6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EBBBDF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F32AEF" w:rsidRPr="00550D88" w14:paraId="0763D84C" w14:textId="77777777" w:rsidTr="002D297F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2DAF5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1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D700" w14:textId="0290B09D" w:rsidR="00F32AEF" w:rsidRPr="00550D88" w:rsidRDefault="00F74B12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32AEF">
              <w:rPr>
                <w:szCs w:val="28"/>
              </w:rPr>
              <w:t xml:space="preserve"> квартал 2022 г.</w:t>
            </w:r>
          </w:p>
        </w:tc>
      </w:tr>
      <w:tr w:rsidR="00F32AEF" w:rsidRPr="00550D88" w14:paraId="0B0A9E8D" w14:textId="77777777" w:rsidTr="002D297F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6D7F0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11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FAFEC5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F32AEF" w:rsidRPr="00550D88" w14:paraId="71DD40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1712BA4" w14:textId="0A92F6B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10.2. Необходимость установления переходного периода и (или) отсрочки введения предлагаемого</w:t>
            </w:r>
            <w:r>
              <w:rPr>
                <w:szCs w:val="28"/>
              </w:rPr>
              <w:t xml:space="preserve"> правового регулирования: нет.</w:t>
            </w:r>
          </w:p>
          <w:p w14:paraId="5DA3F0B1" w14:textId="17D3986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а) срок переходного периода: ____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>_____________ дней с даты принятия проекта муниципального нормативного правового акта;</w:t>
            </w:r>
          </w:p>
          <w:p w14:paraId="7555A664" w14:textId="2B8B9EA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б) отсрочка введения предлагаемого правового регулирования: 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>_________ дней с даты принятия проекта муниципального нормативного правового акта.</w:t>
            </w:r>
          </w:p>
        </w:tc>
      </w:tr>
      <w:tr w:rsidR="00F32AEF" w:rsidRPr="00550D88" w14:paraId="6D909E7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FA26BE" w14:textId="10438D5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 Необходимость распространения предлагаемого правового регулирования на р</w:t>
            </w:r>
            <w:r>
              <w:rPr>
                <w:szCs w:val="28"/>
              </w:rPr>
              <w:t>анее возникшие отношения: нет</w:t>
            </w:r>
            <w:r w:rsidRPr="00550D88">
              <w:rPr>
                <w:szCs w:val="28"/>
              </w:rPr>
              <w:t>.</w:t>
            </w:r>
          </w:p>
          <w:p w14:paraId="4AAD1878" w14:textId="2652860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10.3.1. Период распространения на ранее возникшие отношения: ___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>___________ дней с даты принятия проекта муниципального нормативного правового акта.</w:t>
            </w:r>
          </w:p>
        </w:tc>
      </w:tr>
      <w:tr w:rsidR="00F32AEF" w:rsidRPr="00550D88" w14:paraId="0DFF714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1B2FA3" w14:textId="23A5FAC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______</w:t>
            </w:r>
            <w:r w:rsidRPr="00553B43">
              <w:rPr>
                <w:szCs w:val="28"/>
                <w:u w:val="single"/>
              </w:rPr>
              <w:t>нет</w:t>
            </w:r>
            <w:r w:rsidRPr="00550D88">
              <w:rPr>
                <w:szCs w:val="28"/>
              </w:rPr>
              <w:t>_____________</w:t>
            </w:r>
          </w:p>
        </w:tc>
      </w:tr>
      <w:tr w:rsidR="00F32AEF" w:rsidRPr="00550D88" w14:paraId="7A780CBA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A9B4A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5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84D1F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483DA10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A8D428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Иные приложения (по усмотрению регулирующего органа).</w:t>
            </w:r>
          </w:p>
        </w:tc>
      </w:tr>
      <w:tr w:rsidR="00F32AEF" w:rsidRPr="00550D88" w14:paraId="64EEB29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57C35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F32AEF" w:rsidRPr="00550D88" w14:paraId="2604F948" w14:textId="77777777" w:rsidTr="002D297F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D61662" w14:textId="77777777" w:rsidR="00F32AEF" w:rsidRDefault="00F32AEF" w:rsidP="00F32A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</w:t>
            </w:r>
          </w:p>
          <w:p w14:paraId="428CDF19" w14:textId="77777777" w:rsidR="00F32AEF" w:rsidRDefault="00F32AEF" w:rsidP="00F32A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образования, начальник управления</w:t>
            </w:r>
          </w:p>
          <w:p w14:paraId="0C490681" w14:textId="1402CBAB" w:rsidR="00F32AEF" w:rsidRDefault="00F32AEF" w:rsidP="00F32AEF">
            <w:pPr>
              <w:widowControl w:val="0"/>
              <w:autoSpaceDE w:val="0"/>
              <w:autoSpaceDN w:val="0"/>
              <w:adjustRightInd w:val="0"/>
              <w:ind w:right="-147"/>
              <w:rPr>
                <w:szCs w:val="28"/>
              </w:rPr>
            </w:pPr>
            <w:r>
              <w:rPr>
                <w:szCs w:val="28"/>
              </w:rPr>
              <w:t>сельского хозяйства и продовольствия администрации муниципального образования Каневской район</w:t>
            </w:r>
          </w:p>
          <w:p w14:paraId="3446CCD6" w14:textId="6F7A7060" w:rsidR="00F32AEF" w:rsidRPr="00A47285" w:rsidRDefault="00F32AEF" w:rsidP="00F32A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2CF02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5B4E5AB2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C0A16" w14:textId="27B4145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С.В.Точилкин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BBA0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D1FD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B983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E574" w14:textId="4DB9438C" w:rsidR="00F32AEF" w:rsidRPr="00454EA2" w:rsidRDefault="00454EA2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С.В. Точилкин</w:t>
            </w:r>
          </w:p>
        </w:tc>
      </w:tr>
      <w:tr w:rsidR="00F32AEF" w:rsidRPr="00550D88" w14:paraId="21A77712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FA4A6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57FA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FE030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FE9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21683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(подпись)</w:t>
            </w:r>
          </w:p>
        </w:tc>
      </w:tr>
    </w:tbl>
    <w:p w14:paraId="308FC1C2" w14:textId="77777777" w:rsidR="00550D88" w:rsidRPr="00550D88" w:rsidRDefault="00550D88" w:rsidP="00550D88">
      <w:pPr>
        <w:jc w:val="both"/>
        <w:rPr>
          <w:sz w:val="6"/>
        </w:rPr>
      </w:pPr>
    </w:p>
    <w:p w14:paraId="16090F9D" w14:textId="77777777" w:rsidR="00550D88" w:rsidRPr="00550D88" w:rsidRDefault="00550D88" w:rsidP="00550D88">
      <w:pPr>
        <w:jc w:val="both"/>
        <w:rPr>
          <w:szCs w:val="28"/>
        </w:rPr>
      </w:pPr>
    </w:p>
    <w:p w14:paraId="74A8AF3B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629B"/>
    <w:multiLevelType w:val="hybridMultilevel"/>
    <w:tmpl w:val="9500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43"/>
    <w:rsid w:val="00016AD3"/>
    <w:rsid w:val="00183955"/>
    <w:rsid w:val="00270FD7"/>
    <w:rsid w:val="002D297F"/>
    <w:rsid w:val="002E4FF1"/>
    <w:rsid w:val="002E5096"/>
    <w:rsid w:val="00346C35"/>
    <w:rsid w:val="00363F8E"/>
    <w:rsid w:val="0038592E"/>
    <w:rsid w:val="003A6C6A"/>
    <w:rsid w:val="003C025D"/>
    <w:rsid w:val="003F68A3"/>
    <w:rsid w:val="00454EA2"/>
    <w:rsid w:val="00456243"/>
    <w:rsid w:val="0046202B"/>
    <w:rsid w:val="004C7874"/>
    <w:rsid w:val="00502921"/>
    <w:rsid w:val="0053443C"/>
    <w:rsid w:val="00545B95"/>
    <w:rsid w:val="00550D88"/>
    <w:rsid w:val="00553B43"/>
    <w:rsid w:val="005678D7"/>
    <w:rsid w:val="005B1B4A"/>
    <w:rsid w:val="005E7EC7"/>
    <w:rsid w:val="006324A0"/>
    <w:rsid w:val="007D67F3"/>
    <w:rsid w:val="009261FB"/>
    <w:rsid w:val="00A0231B"/>
    <w:rsid w:val="00A15A3F"/>
    <w:rsid w:val="00A47285"/>
    <w:rsid w:val="00B06FAB"/>
    <w:rsid w:val="00B7339F"/>
    <w:rsid w:val="00B77110"/>
    <w:rsid w:val="00BA53B3"/>
    <w:rsid w:val="00BA7424"/>
    <w:rsid w:val="00D42F41"/>
    <w:rsid w:val="00D870BA"/>
    <w:rsid w:val="00F059FC"/>
    <w:rsid w:val="00F32AEF"/>
    <w:rsid w:val="00F74B12"/>
    <w:rsid w:val="00F9444C"/>
    <w:rsid w:val="00F97691"/>
    <w:rsid w:val="00FA60AB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034A"/>
  <w15:docId w15:val="{B4A39922-E20A-43DC-82C1-6D91DF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rsid w:val="007D67F3"/>
    <w:pPr>
      <w:keepNext/>
      <w:widowControl w:val="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67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67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6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7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6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67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7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D67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9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Лариса Маркина</cp:lastModifiedBy>
  <cp:revision>5</cp:revision>
  <dcterms:created xsi:type="dcterms:W3CDTF">2022-09-07T13:21:00Z</dcterms:created>
  <dcterms:modified xsi:type="dcterms:W3CDTF">2022-09-14T07:44:00Z</dcterms:modified>
</cp:coreProperties>
</file>