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30C77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30C77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A76BB">
        <w:rPr>
          <w:noProof/>
          <w:sz w:val="28"/>
          <w:szCs w:val="28"/>
          <w:lang w:eastAsia="ru-RU"/>
        </w:rPr>
        <w:t>0</w:t>
      </w:r>
      <w:r w:rsidR="00030C77">
        <w:rPr>
          <w:noProof/>
          <w:sz w:val="28"/>
          <w:szCs w:val="28"/>
          <w:lang w:eastAsia="ru-RU"/>
        </w:rPr>
        <w:t>7</w:t>
      </w:r>
      <w:r w:rsidR="006A76BB">
        <w:rPr>
          <w:noProof/>
          <w:sz w:val="28"/>
          <w:szCs w:val="28"/>
          <w:lang w:eastAsia="ru-RU"/>
        </w:rPr>
        <w:t>.11.2023</w:t>
      </w:r>
      <w:r w:rsidRPr="00676E06">
        <w:rPr>
          <w:color w:val="000000"/>
          <w:sz w:val="28"/>
        </w:rPr>
        <w:t xml:space="preserve"> г. № 07-01/</w:t>
      </w:r>
      <w:r w:rsidR="006A76BB">
        <w:rPr>
          <w:color w:val="000000" w:themeColor="text1"/>
          <w:sz w:val="28"/>
        </w:rPr>
        <w:t>12</w:t>
      </w:r>
      <w:r w:rsidR="00030C77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B05B3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05B31" w:rsidRPr="00B05B3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22 нояб</w:t>
      </w:r>
      <w:r w:rsidR="00B05B31">
        <w:rPr>
          <w:sz w:val="28"/>
          <w:szCs w:val="28"/>
        </w:rPr>
        <w:t xml:space="preserve">ря 2017 года № 2120 </w:t>
      </w:r>
      <w:r w:rsidR="00B05B31" w:rsidRPr="00B05B31">
        <w:rPr>
          <w:sz w:val="28"/>
          <w:szCs w:val="28"/>
        </w:rPr>
        <w:t>«Об утверждении Порядка предоставления субсидий муниципальным образовательным организациям, подведомственным управлению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район»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B05B3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05B31" w:rsidRPr="00B05B3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</w:t>
      </w:r>
      <w:r w:rsidR="00B05B31">
        <w:rPr>
          <w:sz w:val="28"/>
          <w:szCs w:val="28"/>
        </w:rPr>
        <w:t xml:space="preserve">н от 22 ноября 2017 года № 2120 </w:t>
      </w:r>
      <w:r w:rsidR="00B05B31" w:rsidRPr="00B05B31">
        <w:rPr>
          <w:sz w:val="28"/>
          <w:szCs w:val="28"/>
        </w:rPr>
        <w:t xml:space="preserve">«Об утверждении Порядка предоставления субсидий муниципальным образовательным организациям, подведомственным управлению образования Каневской район на предоставление мер социальной поддержки в виде </w:t>
      </w:r>
      <w:r w:rsidR="00B05B31" w:rsidRPr="00B05B31">
        <w:rPr>
          <w:sz w:val="28"/>
          <w:szCs w:val="28"/>
        </w:rPr>
        <w:lastRenderedPageBreak/>
        <w:t>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район»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3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4346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2022-09-13T06:15:00Z</cp:lastPrinted>
  <dcterms:created xsi:type="dcterms:W3CDTF">2021-08-13T08:28:00Z</dcterms:created>
  <dcterms:modified xsi:type="dcterms:W3CDTF">2023-11-03T10:32:00Z</dcterms:modified>
</cp:coreProperties>
</file>